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3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31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31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31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31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821805" cy="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517.2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3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82"/>
        <w:jc w:val="center"/>
        <w:spacing w:before="0" w:beforeAutospacing="0" w:after="0" w:afterAutospacing="0"/>
        <w:shd w:val="clear" w:color="auto" w:fill="ffffff"/>
        <w:rPr>
          <w:rStyle w:val="1083"/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промышленных предприятий Удмуртии</w:t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1082"/>
        <w:jc w:val="center"/>
        <w:spacing w:before="0" w:beforeAutospacing="0" w:after="0" w:afterAutospacing="0"/>
        <w:shd w:val="clear" w:color="auto" w:fill="ffffff"/>
        <w:rPr>
          <w:rStyle w:val="1083"/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за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январь-апрель 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20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2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 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год</w:t>
      </w:r>
      <w:r>
        <w:rPr>
          <w:rStyle w:val="1083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</w:t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Style w:val="1083"/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1082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31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январь-апрель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январь-апрель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446,5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116,9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января-апреля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111,2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(101,2 %)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1 место в 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292,8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142,3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127,2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ТОП-3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общероссийского на 23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процентный пункт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104,2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65,6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автотранспортных средств, прицепов и полуприцепов – в 4 раза;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готовых металлических изделий – 129,2%;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компьютеров, электронных и оптических изделий – 182,7 %;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highlight w:val="white"/>
        </w:rPr>
      </w:r>
    </w:p>
    <w:p>
      <w:pPr>
        <w:pStyle w:val="874"/>
        <w:numPr>
          <w:ilvl w:val="0"/>
          <w:numId w:val="79"/>
        </w:numPr>
        <w:jc w:val="both"/>
        <w:spacing w:after="0" w:line="240" w:lineRule="auto"/>
        <w:rPr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  <w:t xml:space="preserve">производство прочих транспортных средств и оборудования – в 2,6 раза.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Основными предприятиями оказывающие значительное влияние на положительную динамику данных отраслей благодаря своим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высоким показателям по итогам января-апреля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продемонстрировали следующие предприятия: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«ИЭМЗ «Купол»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«Воткинский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мотозавод «Аксион-Холдинг»,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«Концерн «Калашников»,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ПАО «Ижсталь»,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«ЧМЗ», ООО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«Увадрев-Холдинг»,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«СЭГЗ»,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 «Ижевский механический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«Свет»,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«Сарапульский радиозавод»,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«Глазов. Электрон»,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«Ижевское предприятие «Спутник им. Исаенко Е.М.»,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«ИРЗ»,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ПАО «Ижнефтемаш»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завод пластмасс»,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«Глазовская мебельная фабрика»,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АОр МДНП «Красная звезда»,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«Глазовский завод «Металлист»,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 «Можгинский лесокомбинат»,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«Завод нефтегазового оборудования «Техновек»,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«ЭТЗ «Вектор»,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«ИОМЗ»,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ОАО «НИТИ «Прогресс»,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«КБЭ ХХI века»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«Энергоремонт»,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«Орион»,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ЗАО «ИЗМФ «ФМС»,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«Новый дом»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«ПО Камбарский машиностроительный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«Ижевский завод кирпича и керамзита»,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ЗАО «Можхим»,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«Завод железобетонных изделий».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28,4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126,8 млрд.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82,7 %.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93,9 %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SUPERCAM В НЕБЕ НАД СТАЛИНГРАДОМ: СОВРЕМЕННЫЕ ТЕХНОЛОГИИ НА СЛУЖБЕ ВЕЛИКОЙ ПОБЕДЫ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 дни празднования 80-летия Великой Победы комплекс Supercam S350 получил особую честь — стать единственным беспилотником, которому доверили полеты над Волгоградом, временно вернувшим в честь юбилея историческое имя Города-героя — «Сталинград».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Совместно с ГУ МВД России по Волгоградской области и УФСБ РФ #Supercam обеспечивал безопасность, проводя мониторинг ключевых объектов инфраструктуры и мест массового скопления людей.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Высококачественное видео с борта беспилотника в режиме реального времени передавалось в оперативный штаб, что позволило гарантировать безупречный порядок во время торжеств. 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Supercam S350, запускаемый с мобильного пункта управления, вновь подтвердил свою надежность и эффективность. Четкая работа системы, удобство управления и мгновенная передача данных помогли успешно выполнить все задачи в этот знаменательный день. 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Предлагаем посмотреть на достопримечательности Города-героя Сталинграда с борта #Supercam.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Прием заявок на конкурс «СТАНДАРТИЗАТОР ГОДА - 2025» открыт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бщероссийская общественная премия «Стандартизатор года» была учреждена Всероссийской организацией качества (ВОК) в 2019 году. С 2020 года организаторами Премии являются Министерство промышленности и торговли Российской Федерации, Федеральное агентство по т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ехническому регулированию и метрологии, Всероссийская организация качества и Российский институт стандартизации.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Цель конкурса: популяризация стандартизации как инструмента повышения качества и конкурентоспособности продукции, а также признание заслуг высококвалифицированных специалистов в этой области.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Премия будет вручаться в четырех номинациях: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pStyle w:val="874"/>
        <w:numPr>
          <w:ilvl w:val="0"/>
          <w:numId w:val="82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за практический вклад в разработку стандартов, имеющих большое экономическое и социальное значение;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74"/>
        <w:numPr>
          <w:ilvl w:val="0"/>
          <w:numId w:val="82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за практический вклад в создание и функционирование службы стандартизации на предприятиях (в организациях);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74"/>
        <w:numPr>
          <w:ilvl w:val="0"/>
          <w:numId w:val="82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а вклад в образовательную и учебно-просветительную деятельность в области стандартизации и смежных с ней дисциплин;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pStyle w:val="874"/>
        <w:numPr>
          <w:ilvl w:val="0"/>
          <w:numId w:val="82"/>
        </w:numPr>
        <w:ind w:right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а вклад в развитие научно-методических основ стандартизации.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Лауреаты получат наградной куб и памятный значок — авторские произведения ручной работы, символизирующие профессионализм и победу.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 участию приглашаются индивидуальные соискатели и коллективы. Срок подачи заявок: до 17 августа. Участие бесплатное.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Подробную информацию можно найти на сайте премии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hyperlink r:id="rId12" w:tooltip="https://standartizatorgoda.ru/" w:history="1">
        <w:r>
          <w:rPr>
            <w:rStyle w:val="1050"/>
            <w:rFonts w:ascii="PT Astra Serif" w:hAnsi="PT Astra Serif" w:cs="PT Astra Serif"/>
            <w:sz w:val="28"/>
            <w:szCs w:val="28"/>
            <w:highlight w:val="none"/>
          </w:rPr>
          <w:t xml:space="preserve">https://standartizatorgoda.ru/</w:t>
        </w:r>
        <w:r>
          <w:rPr>
            <w:rStyle w:val="1050"/>
            <w:rFonts w:ascii="PT Astra Serif" w:hAnsi="PT Astra Serif" w:cs="PT Astra Serif"/>
            <w:sz w:val="28"/>
            <w:szCs w:val="28"/>
            <w:highlight w:val="none"/>
          </w:rPr>
        </w:r>
      </w:hyperlink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Более 40 млн рублей – годовой экономический эффект Завода штампов и пресс-форм «Иж-Рест» от участия в федеральном проекте «Производительность труда», входящего в национальный проект «Эффективная и конкурентная экономика»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ОО «Иж-Рэст» участвует в реализации Федерального проекта «Производительность труда» с ноября 2024 года. В качестве пилотного был определен проект «Оптимизация процесса проектирования и изготовления изделия «штамп» на ООО «ИЖ-РЭСТ». Проект реализовывался п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ри поддержке Федерального Центра Компетенций в сфере производительности труда.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За 6 месяцев реализации проекта удалось снизить время протекания процесса на 33% (с 326 до 218 часов) и объем запасов в потоке на 57% (с 47 до 20шт.), а также увеличить выработку в потоке на 50%.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Комплекс реализованных мероприятий позволил получить годовой экономический эффект в размере 40,1 млн. руб.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«Иж-Рест» стало одним из первых в России, присоединившихся к федеральному проекту «Развитие станкоинструментальной промышленности», который является частью национального проекта «Средства производства и автоматизации».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Э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ксперты Федерального центра компетенций (ФЦК) займутся диагностикой и внедрением улучшений в основные и вспомогательные бизнес-процессы предприятия. Цель — повысить производительность труда не только на предприятии «Иж-Рест», но и в станкоинструментальной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отрасли в целом.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Благодаря уникальному опыту «Иж-Рест», удалось доработать и усовершенствовать технологию развития предприятий станкоинструментальной промышленности.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В 1 квартале 2025 года состоялась торжественная церемония строительства нового цеха Завода строительных лесов «СОЮЗ»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СЛ «СОЮЗ» – первый российский производитель модульных клиновых лесов мирового  уровня. Его продукция применяется во многих отраслях промышленности, на любых объектах строительства, там где существуют повышенные требования к надежности и прочности конструкц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ии.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  <w:tab/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Глава Удмуртии Александр Бречалов и генеральный директор Завода строительных лесов «СОЮЗ» Олег Смирнов заложили первый камень нового цеха горячего цинкования. Его строительство проходит в рамках реализации масштабного инвестиционного проекта «Произв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дство высоконагруженных элементов и конструкций строительных лесов для возведения высотных сооружений». Ключевой особенностью инвестпроекта станет применение инновационного подхода к процессу горячего цинкования, а элементы нового поколения позволят работа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ть на значительно большей высоте без риска для жизни и здоровья в различных экстремальных климатических условиях и средах.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Р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еализация инвестпроекта началась весной прошлого года. В качестве господдержки предприятие получило земельный участок без проведения торгов. 5 июня 2024 года на полях Петербургского международного экономического форума Правительство Удмуртской Республики и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Завод строительных лесов «СОЮЗ» заключили соглашение о сотрудничестве и взаимодействии по реализации инвестиционного проекта.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Р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азмер инвестиций составил 433 млн рублей. Средства на приобретение современного технологического оборудования для нового цеха были получены благодаря грантовой поддержке АНО «Центр поддержки инжиниринга и инноваций». Также на строительство цеха в 2025 году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предприятие получило промышленную ипотеку (льготная программа кредитования от Минпромторга РФ).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Открыть новую производственную площадку планируется до 2027 года.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yellow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Всероссийский конкурс «Инженер года 2024»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 этом году жюри конкурса отметило 39 специалистов предприятий Удмуртской Республики. В этом списке 13 работников АО «ИЭМЗ «Купол».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Сотрудники предприятия стали лауреатами конкурса в номинациях «Техника военного и специального назначения», «радиоэлектроника, электроника, связь», «Аппаратно-программные средства обработки информации, роботизированные устройства».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Кроме этого, 5 сотрудников прошли первый отборочный тур в версии «Профессиональные инженеры» в номинациях «Радиотехника, электроника, связь», «Химия и химические технологии», «Машиностроение», «Техника военного и специального назначения».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Дипломами «Победитель первого тура по версии «Инженерное искусство молодых» в номинации «Радиоэлектроника, электроника, связь» награждены  4 сотрудника АО «ИЭМЗ «Купол».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 рамках конкурса жюри отметило 13 сотрудников АО «Ижевский мотозавод «Аксион-холдинг», ООО Концерн «Аксион», ООО «Завод микроэлектронных технологий».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Р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аботники предприятия прошли первый отборочный тур в версии «Профессиональные инженеры» в номинациях «Интеллектуальные системы и технологии обработки информации», «Химия и химические технологии», «Авиация и космонавтика», «Машиностроение», «Приборостроение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и диагностика», «Инженерная экономика», «Техника военного и специального назначения».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Дипломами «Победитель первого тура по версии «Инженерное искусство молодых» в номинациях «Приборостроение и диагностика», «Техника военного и специального назначения награждены 4 молодых специалиста АО «Ижевский мотозавод «Аксион-холдинг».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Один сотрудник предприятия стал лауреатом конкурса в номинации «Инженерная экономика».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Отмечены так же специалисты Воткинского завода.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Семен Александрович Соколов стал лауреатом в номинации «Машиностроение», а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Алена Олеговна Фертикова прошла первый отборочный тур конкурса в версии «Профессиональные инженеры» в номинации «Машиностроение».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  <w:t xml:space="preserve">А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  <w:t xml:space="preserve">лкогольный рынок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В России продолжается поэтапный ввод маркировки пива, пивных и слабоалкогольных напитков в соответствии с Постановлением Правительства Российской Федерации № 2173.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Ранее я сообщал о том, что производители и импортеры пива и слабоалкогольных напитков в потребительской упаковке с 1 мая 2025 года должны сообщать в «Честный знак» сведения о вводе в оборот данной продукции.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1 сентября 2025 года начнется поэкземплярный учет пива и слабоалкогольных напитков в потребительской упаковке. При этом участники оборота пива и слабоалкогольных напитков будут обязаны сообщать в «Честный знак» сведения о выводе из оборота данной продукци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О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рганизациям и индивидуальным предпринимателям о необходимости соблюдения правил обязательной маркировки пива и слабоалкогольных напитков в потребительской упаковке, в соответствии с действующим законодательством.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rPr>
        <w:rStyle w:val="1076"/>
      </w:rPr>
      <w:framePr w:wrap="around" w:vAnchor="text" w:hAnchor="margin" w:xAlign="right" w:y="1"/>
    </w:pPr>
    <w:r>
      <w:rPr>
        <w:rStyle w:val="1076"/>
      </w:rPr>
      <w:fldChar w:fldCharType="begin"/>
    </w:r>
    <w:r>
      <w:rPr>
        <w:rStyle w:val="1076"/>
      </w:rPr>
      <w:instrText xml:space="preserve">PAGE  </w:instrText>
    </w:r>
    <w:r>
      <w:rPr>
        <w:rStyle w:val="1076"/>
      </w:rPr>
      <w:fldChar w:fldCharType="separate"/>
    </w:r>
    <w:r>
      <w:rPr>
        <w:rStyle w:val="1076"/>
      </w:rPr>
      <w:t xml:space="preserve">5</w:t>
    </w:r>
    <w:r>
      <w:rPr>
        <w:rStyle w:val="1076"/>
      </w:rPr>
      <w:fldChar w:fldCharType="end"/>
    </w:r>
    <w:r>
      <w:rPr>
        <w:rStyle w:val="1076"/>
      </w:rPr>
    </w:r>
    <w:r>
      <w:rPr>
        <w:rStyle w:val="1076"/>
      </w:rPr>
    </w:r>
  </w:p>
  <w:p>
    <w:pPr>
      <w:pStyle w:val="106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31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6">
    <w:name w:val="Heading 1"/>
    <w:basedOn w:val="1031"/>
    <w:next w:val="1031"/>
    <w:link w:val="8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7">
    <w:name w:val="Heading 1 Char"/>
    <w:link w:val="856"/>
    <w:uiPriority w:val="9"/>
    <w:rPr>
      <w:rFonts w:ascii="Arial" w:hAnsi="Arial" w:eastAsia="Arial" w:cs="Arial"/>
      <w:sz w:val="40"/>
      <w:szCs w:val="40"/>
    </w:rPr>
  </w:style>
  <w:style w:type="paragraph" w:styleId="858">
    <w:name w:val="Heading 2"/>
    <w:basedOn w:val="1031"/>
    <w:next w:val="1031"/>
    <w:link w:val="8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9">
    <w:name w:val="Heading 2 Char"/>
    <w:link w:val="858"/>
    <w:uiPriority w:val="9"/>
    <w:rPr>
      <w:rFonts w:ascii="Arial" w:hAnsi="Arial" w:eastAsia="Arial" w:cs="Arial"/>
      <w:sz w:val="34"/>
    </w:rPr>
  </w:style>
  <w:style w:type="paragraph" w:styleId="860">
    <w:name w:val="Heading 3"/>
    <w:basedOn w:val="1031"/>
    <w:next w:val="1031"/>
    <w:link w:val="8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1">
    <w:name w:val="Heading 3 Char"/>
    <w:link w:val="860"/>
    <w:uiPriority w:val="9"/>
    <w:rPr>
      <w:rFonts w:ascii="Arial" w:hAnsi="Arial" w:eastAsia="Arial" w:cs="Arial"/>
      <w:sz w:val="30"/>
      <w:szCs w:val="30"/>
    </w:rPr>
  </w:style>
  <w:style w:type="paragraph" w:styleId="862">
    <w:name w:val="Heading 4"/>
    <w:basedOn w:val="1031"/>
    <w:next w:val="1031"/>
    <w:link w:val="8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3">
    <w:name w:val="Heading 4 Char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1031"/>
    <w:next w:val="1031"/>
    <w:link w:val="8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5">
    <w:name w:val="Heading 5 Char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866">
    <w:name w:val="Heading 6"/>
    <w:basedOn w:val="1031"/>
    <w:next w:val="1031"/>
    <w:link w:val="8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7">
    <w:name w:val="Heading 6 Char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868">
    <w:name w:val="Heading 7"/>
    <w:basedOn w:val="1031"/>
    <w:next w:val="1031"/>
    <w:link w:val="8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>
    <w:name w:val="Heading 7 Char"/>
    <w:link w:val="8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0">
    <w:name w:val="Heading 8"/>
    <w:basedOn w:val="1031"/>
    <w:next w:val="1031"/>
    <w:link w:val="8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1">
    <w:name w:val="Heading 8 Char"/>
    <w:link w:val="870"/>
    <w:uiPriority w:val="9"/>
    <w:rPr>
      <w:rFonts w:ascii="Arial" w:hAnsi="Arial" w:eastAsia="Arial" w:cs="Arial"/>
      <w:i/>
      <w:iCs/>
      <w:sz w:val="22"/>
      <w:szCs w:val="22"/>
    </w:rPr>
  </w:style>
  <w:style w:type="paragraph" w:styleId="872">
    <w:name w:val="Heading 9"/>
    <w:basedOn w:val="1031"/>
    <w:next w:val="1031"/>
    <w:link w:val="8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3">
    <w:name w:val="Heading 9 Char"/>
    <w:link w:val="872"/>
    <w:uiPriority w:val="9"/>
    <w:rPr>
      <w:rFonts w:ascii="Arial" w:hAnsi="Arial" w:eastAsia="Arial" w:cs="Arial"/>
      <w:i/>
      <w:iCs/>
      <w:sz w:val="21"/>
      <w:szCs w:val="21"/>
    </w:rPr>
  </w:style>
  <w:style w:type="paragraph" w:styleId="874">
    <w:name w:val="List Paragraph"/>
    <w:basedOn w:val="1031"/>
    <w:uiPriority w:val="34"/>
    <w:qFormat/>
    <w:pPr>
      <w:contextualSpacing/>
      <w:ind w:left="720"/>
    </w:pPr>
  </w:style>
  <w:style w:type="paragraph" w:styleId="875">
    <w:name w:val="No Spacing"/>
    <w:uiPriority w:val="1"/>
    <w:qFormat/>
    <w:pPr>
      <w:spacing w:before="0" w:after="0" w:line="240" w:lineRule="auto"/>
    </w:pPr>
  </w:style>
  <w:style w:type="character" w:styleId="876">
    <w:name w:val="Title Char"/>
    <w:link w:val="1105"/>
    <w:uiPriority w:val="10"/>
    <w:rPr>
      <w:sz w:val="48"/>
      <w:szCs w:val="48"/>
    </w:rPr>
  </w:style>
  <w:style w:type="paragraph" w:styleId="877">
    <w:name w:val="Subtitle"/>
    <w:basedOn w:val="1031"/>
    <w:next w:val="1031"/>
    <w:link w:val="878"/>
    <w:uiPriority w:val="11"/>
    <w:qFormat/>
    <w:pPr>
      <w:spacing w:before="200" w:after="200"/>
    </w:pPr>
    <w:rPr>
      <w:sz w:val="24"/>
      <w:szCs w:val="24"/>
    </w:rPr>
  </w:style>
  <w:style w:type="character" w:styleId="878">
    <w:name w:val="Subtitle Char"/>
    <w:link w:val="877"/>
    <w:uiPriority w:val="11"/>
    <w:rPr>
      <w:sz w:val="24"/>
      <w:szCs w:val="24"/>
    </w:rPr>
  </w:style>
  <w:style w:type="paragraph" w:styleId="879">
    <w:name w:val="Quote"/>
    <w:basedOn w:val="1031"/>
    <w:next w:val="1031"/>
    <w:link w:val="880"/>
    <w:uiPriority w:val="29"/>
    <w:qFormat/>
    <w:pPr>
      <w:ind w:left="720" w:right="720"/>
    </w:pPr>
    <w:rPr>
      <w:i/>
    </w:rPr>
  </w:style>
  <w:style w:type="character" w:styleId="880">
    <w:name w:val="Quote Char"/>
    <w:link w:val="879"/>
    <w:uiPriority w:val="29"/>
    <w:rPr>
      <w:i/>
    </w:rPr>
  </w:style>
  <w:style w:type="paragraph" w:styleId="881">
    <w:name w:val="Intense Quote"/>
    <w:basedOn w:val="1031"/>
    <w:next w:val="1031"/>
    <w:link w:val="8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2">
    <w:name w:val="Intense Quote Char"/>
    <w:link w:val="881"/>
    <w:uiPriority w:val="30"/>
    <w:rPr>
      <w:i/>
    </w:rPr>
  </w:style>
  <w:style w:type="character" w:styleId="883">
    <w:name w:val="Header Char"/>
    <w:link w:val="1104"/>
    <w:uiPriority w:val="99"/>
  </w:style>
  <w:style w:type="paragraph" w:styleId="884">
    <w:name w:val="Footer"/>
    <w:basedOn w:val="1031"/>
    <w:link w:val="8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5">
    <w:name w:val="Footer Char"/>
    <w:link w:val="884"/>
    <w:uiPriority w:val="99"/>
  </w:style>
  <w:style w:type="character" w:styleId="886">
    <w:name w:val="Caption Char"/>
    <w:basedOn w:val="1109"/>
    <w:link w:val="884"/>
    <w:uiPriority w:val="99"/>
  </w:style>
  <w:style w:type="table" w:styleId="8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3">
    <w:name w:val="Hyperlink"/>
    <w:uiPriority w:val="99"/>
    <w:unhideWhenUsed/>
    <w:rPr>
      <w:color w:val="0000ff" w:themeColor="hyperlink"/>
      <w:u w:val="single"/>
    </w:rPr>
  </w:style>
  <w:style w:type="paragraph" w:styleId="1014">
    <w:name w:val="footnote text"/>
    <w:basedOn w:val="1031"/>
    <w:link w:val="1015"/>
    <w:uiPriority w:val="99"/>
    <w:semiHidden/>
    <w:unhideWhenUsed/>
    <w:pPr>
      <w:spacing w:after="40" w:line="240" w:lineRule="auto"/>
    </w:pPr>
    <w:rPr>
      <w:sz w:val="18"/>
    </w:rPr>
  </w:style>
  <w:style w:type="character" w:styleId="1015">
    <w:name w:val="Footnote Text Char"/>
    <w:link w:val="1014"/>
    <w:uiPriority w:val="99"/>
    <w:rPr>
      <w:sz w:val="18"/>
    </w:rPr>
  </w:style>
  <w:style w:type="character" w:styleId="1016">
    <w:name w:val="footnote reference"/>
    <w:uiPriority w:val="99"/>
    <w:unhideWhenUsed/>
    <w:rPr>
      <w:vertAlign w:val="superscript"/>
    </w:rPr>
  </w:style>
  <w:style w:type="paragraph" w:styleId="1017">
    <w:name w:val="endnote text"/>
    <w:basedOn w:val="1031"/>
    <w:link w:val="1018"/>
    <w:uiPriority w:val="99"/>
    <w:semiHidden/>
    <w:unhideWhenUsed/>
    <w:pPr>
      <w:spacing w:after="0" w:line="240" w:lineRule="auto"/>
    </w:pPr>
    <w:rPr>
      <w:sz w:val="20"/>
    </w:rPr>
  </w:style>
  <w:style w:type="character" w:styleId="1018">
    <w:name w:val="Endnote Text Char"/>
    <w:link w:val="1017"/>
    <w:uiPriority w:val="99"/>
    <w:rPr>
      <w:sz w:val="20"/>
    </w:rPr>
  </w:style>
  <w:style w:type="character" w:styleId="1019">
    <w:name w:val="endnote reference"/>
    <w:uiPriority w:val="99"/>
    <w:semiHidden/>
    <w:unhideWhenUsed/>
    <w:rPr>
      <w:vertAlign w:val="superscript"/>
    </w:rPr>
  </w:style>
  <w:style w:type="paragraph" w:styleId="1020">
    <w:name w:val="toc 1"/>
    <w:basedOn w:val="1031"/>
    <w:next w:val="1031"/>
    <w:uiPriority w:val="39"/>
    <w:unhideWhenUsed/>
    <w:pPr>
      <w:ind w:left="0" w:right="0" w:firstLine="0"/>
      <w:spacing w:after="57"/>
    </w:pPr>
  </w:style>
  <w:style w:type="paragraph" w:styleId="1021">
    <w:name w:val="toc 2"/>
    <w:basedOn w:val="1031"/>
    <w:next w:val="1031"/>
    <w:uiPriority w:val="39"/>
    <w:unhideWhenUsed/>
    <w:pPr>
      <w:ind w:left="283" w:right="0" w:firstLine="0"/>
      <w:spacing w:after="57"/>
    </w:pPr>
  </w:style>
  <w:style w:type="paragraph" w:styleId="1022">
    <w:name w:val="toc 3"/>
    <w:basedOn w:val="1031"/>
    <w:next w:val="1031"/>
    <w:uiPriority w:val="39"/>
    <w:unhideWhenUsed/>
    <w:pPr>
      <w:ind w:left="567" w:right="0" w:firstLine="0"/>
      <w:spacing w:after="57"/>
    </w:pPr>
  </w:style>
  <w:style w:type="paragraph" w:styleId="1023">
    <w:name w:val="toc 4"/>
    <w:basedOn w:val="1031"/>
    <w:next w:val="1031"/>
    <w:uiPriority w:val="39"/>
    <w:unhideWhenUsed/>
    <w:pPr>
      <w:ind w:left="850" w:right="0" w:firstLine="0"/>
      <w:spacing w:after="57"/>
    </w:pPr>
  </w:style>
  <w:style w:type="paragraph" w:styleId="1024">
    <w:name w:val="toc 5"/>
    <w:basedOn w:val="1031"/>
    <w:next w:val="1031"/>
    <w:uiPriority w:val="39"/>
    <w:unhideWhenUsed/>
    <w:pPr>
      <w:ind w:left="1134" w:right="0" w:firstLine="0"/>
      <w:spacing w:after="57"/>
    </w:pPr>
  </w:style>
  <w:style w:type="paragraph" w:styleId="1025">
    <w:name w:val="toc 6"/>
    <w:basedOn w:val="1031"/>
    <w:next w:val="1031"/>
    <w:uiPriority w:val="39"/>
    <w:unhideWhenUsed/>
    <w:pPr>
      <w:ind w:left="1417" w:right="0" w:firstLine="0"/>
      <w:spacing w:after="57"/>
    </w:pPr>
  </w:style>
  <w:style w:type="paragraph" w:styleId="1026">
    <w:name w:val="toc 7"/>
    <w:basedOn w:val="1031"/>
    <w:next w:val="1031"/>
    <w:uiPriority w:val="39"/>
    <w:unhideWhenUsed/>
    <w:pPr>
      <w:ind w:left="1701" w:right="0" w:firstLine="0"/>
      <w:spacing w:after="57"/>
    </w:pPr>
  </w:style>
  <w:style w:type="paragraph" w:styleId="1027">
    <w:name w:val="toc 8"/>
    <w:basedOn w:val="1031"/>
    <w:next w:val="1031"/>
    <w:uiPriority w:val="39"/>
    <w:unhideWhenUsed/>
    <w:pPr>
      <w:ind w:left="1984" w:right="0" w:firstLine="0"/>
      <w:spacing w:after="57"/>
    </w:pPr>
  </w:style>
  <w:style w:type="paragraph" w:styleId="1028">
    <w:name w:val="toc 9"/>
    <w:basedOn w:val="1031"/>
    <w:next w:val="1031"/>
    <w:uiPriority w:val="39"/>
    <w:unhideWhenUsed/>
    <w:pPr>
      <w:ind w:left="2268" w:right="0" w:firstLine="0"/>
      <w:spacing w:after="57"/>
    </w:pPr>
  </w:style>
  <w:style w:type="paragraph" w:styleId="1029">
    <w:name w:val="TOC Heading"/>
    <w:uiPriority w:val="39"/>
    <w:unhideWhenUsed/>
  </w:style>
  <w:style w:type="paragraph" w:styleId="1030">
    <w:name w:val="table of figures"/>
    <w:basedOn w:val="1031"/>
    <w:next w:val="1031"/>
    <w:uiPriority w:val="99"/>
    <w:unhideWhenUsed/>
    <w:pPr>
      <w:spacing w:after="0" w:afterAutospacing="0"/>
    </w:pPr>
  </w:style>
  <w:style w:type="paragraph" w:styleId="1031" w:default="1">
    <w:name w:val="Normal"/>
    <w:next w:val="1031"/>
    <w:link w:val="1031"/>
    <w:qFormat/>
    <w:rPr>
      <w:lang w:val="ru-RU" w:eastAsia="ar-SA" w:bidi="ar-SA"/>
    </w:rPr>
  </w:style>
  <w:style w:type="paragraph" w:styleId="1032">
    <w:name w:val="Заголовок 1"/>
    <w:basedOn w:val="1031"/>
    <w:next w:val="1031"/>
    <w:link w:val="1099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33">
    <w:name w:val="Заголовок 2"/>
    <w:basedOn w:val="1031"/>
    <w:next w:val="1033"/>
    <w:link w:val="1097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34">
    <w:name w:val="Заголовок 3"/>
    <w:basedOn w:val="1031"/>
    <w:next w:val="1031"/>
    <w:link w:val="110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35">
    <w:name w:val="Заголовок 4"/>
    <w:basedOn w:val="1031"/>
    <w:next w:val="1031"/>
    <w:link w:val="1101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36">
    <w:name w:val="Основной шрифт абзаца"/>
    <w:next w:val="1036"/>
    <w:link w:val="1031"/>
    <w:semiHidden/>
  </w:style>
  <w:style w:type="table" w:styleId="1037">
    <w:name w:val="Обычная таблица"/>
    <w:next w:val="1037"/>
    <w:link w:val="1031"/>
    <w:uiPriority w:val="99"/>
    <w:semiHidden/>
    <w:unhideWhenUsed/>
    <w:tblPr/>
  </w:style>
  <w:style w:type="numbering" w:styleId="1038">
    <w:name w:val="Нет списка"/>
    <w:next w:val="1038"/>
    <w:link w:val="1031"/>
    <w:uiPriority w:val="99"/>
    <w:semiHidden/>
    <w:unhideWhenUsed/>
  </w:style>
  <w:style w:type="character" w:styleId="1039">
    <w:name w:val="Основной шрифт абзаца6"/>
    <w:next w:val="1039"/>
    <w:link w:val="1031"/>
  </w:style>
  <w:style w:type="character" w:styleId="1040">
    <w:name w:val="Основной шрифт абзаца5"/>
    <w:next w:val="1040"/>
    <w:link w:val="1031"/>
  </w:style>
  <w:style w:type="character" w:styleId="1041">
    <w:name w:val="Основной шрифт абзаца4"/>
    <w:next w:val="1041"/>
    <w:link w:val="1031"/>
  </w:style>
  <w:style w:type="character" w:styleId="1042">
    <w:name w:val="Absatz-Standardschriftart"/>
    <w:next w:val="1042"/>
    <w:link w:val="1031"/>
  </w:style>
  <w:style w:type="character" w:styleId="1043">
    <w:name w:val="WW-Absatz-Standardschriftart"/>
    <w:next w:val="1043"/>
    <w:link w:val="1031"/>
  </w:style>
  <w:style w:type="character" w:styleId="1044">
    <w:name w:val="Основной шрифт абзаца3"/>
    <w:next w:val="1044"/>
    <w:link w:val="1031"/>
  </w:style>
  <w:style w:type="character" w:styleId="1045">
    <w:name w:val="WW-Absatz-Standardschriftart1"/>
    <w:next w:val="1045"/>
    <w:link w:val="1031"/>
  </w:style>
  <w:style w:type="character" w:styleId="1046">
    <w:name w:val="Основной шрифт абзаца2"/>
    <w:next w:val="1046"/>
    <w:link w:val="1031"/>
  </w:style>
  <w:style w:type="character" w:styleId="1047">
    <w:name w:val="WW-Absatz-Standardschriftart11"/>
    <w:next w:val="1047"/>
    <w:link w:val="1031"/>
  </w:style>
  <w:style w:type="character" w:styleId="1048">
    <w:name w:val="Основной шрифт абзаца1"/>
    <w:next w:val="1048"/>
    <w:link w:val="1031"/>
  </w:style>
  <w:style w:type="character" w:styleId="1049">
    <w:name w:val="Îñíîâíîé øðèôò"/>
    <w:next w:val="1049"/>
    <w:link w:val="1031"/>
  </w:style>
  <w:style w:type="character" w:styleId="1050">
    <w:name w:val="Гиперссылка"/>
    <w:next w:val="1050"/>
    <w:link w:val="1031"/>
    <w:uiPriority w:val="99"/>
    <w:semiHidden/>
    <w:rPr>
      <w:color w:val="0000ff"/>
      <w:u w:val="single"/>
    </w:rPr>
  </w:style>
  <w:style w:type="character" w:styleId="1051">
    <w:name w:val="Просмотренная гиперссылка"/>
    <w:next w:val="1051"/>
    <w:link w:val="1031"/>
    <w:semiHidden/>
    <w:rPr>
      <w:color w:val="800080"/>
      <w:u w:val="single"/>
    </w:rPr>
  </w:style>
  <w:style w:type="paragraph" w:styleId="1052">
    <w:name w:val="Заголовок"/>
    <w:basedOn w:val="1031"/>
    <w:next w:val="1053"/>
    <w:link w:val="1031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53">
    <w:name w:val="Основной текст"/>
    <w:basedOn w:val="1031"/>
    <w:next w:val="1053"/>
    <w:link w:val="1031"/>
    <w:semiHidden/>
    <w:rPr>
      <w:sz w:val="28"/>
    </w:rPr>
  </w:style>
  <w:style w:type="paragraph" w:styleId="1054">
    <w:name w:val="Список"/>
    <w:basedOn w:val="1053"/>
    <w:next w:val="1054"/>
    <w:link w:val="1031"/>
    <w:semiHidden/>
    <w:rPr>
      <w:rFonts w:ascii="Arial" w:hAnsi="Arial" w:cs="Tahoma"/>
    </w:rPr>
  </w:style>
  <w:style w:type="paragraph" w:styleId="1055">
    <w:name w:val="Название6"/>
    <w:basedOn w:val="1031"/>
    <w:next w:val="1055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6">
    <w:name w:val="Указатель6"/>
    <w:basedOn w:val="1031"/>
    <w:next w:val="1056"/>
    <w:link w:val="1031"/>
    <w:pPr>
      <w:suppressLineNumbers/>
    </w:pPr>
    <w:rPr>
      <w:rFonts w:ascii="Arial" w:hAnsi="Arial" w:cs="Tahoma"/>
    </w:rPr>
  </w:style>
  <w:style w:type="paragraph" w:styleId="1057">
    <w:name w:val="Название5"/>
    <w:basedOn w:val="1031"/>
    <w:next w:val="1057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8">
    <w:name w:val="Указатель5"/>
    <w:basedOn w:val="1031"/>
    <w:next w:val="1058"/>
    <w:link w:val="1031"/>
    <w:pPr>
      <w:suppressLineNumbers/>
    </w:pPr>
    <w:rPr>
      <w:rFonts w:ascii="Arial" w:hAnsi="Arial" w:cs="Tahoma"/>
    </w:rPr>
  </w:style>
  <w:style w:type="paragraph" w:styleId="1059">
    <w:name w:val="Название4"/>
    <w:basedOn w:val="1031"/>
    <w:next w:val="1059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0">
    <w:name w:val="Указатель4"/>
    <w:basedOn w:val="1031"/>
    <w:next w:val="1060"/>
    <w:link w:val="1031"/>
    <w:pPr>
      <w:suppressLineNumbers/>
    </w:pPr>
    <w:rPr>
      <w:rFonts w:ascii="Arial" w:hAnsi="Arial" w:cs="Tahoma"/>
    </w:rPr>
  </w:style>
  <w:style w:type="paragraph" w:styleId="1061">
    <w:name w:val="Название3"/>
    <w:basedOn w:val="1031"/>
    <w:next w:val="1061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2">
    <w:name w:val="Указатель3"/>
    <w:basedOn w:val="1031"/>
    <w:next w:val="1062"/>
    <w:link w:val="1031"/>
    <w:pPr>
      <w:suppressLineNumbers/>
    </w:pPr>
    <w:rPr>
      <w:rFonts w:ascii="Arial" w:hAnsi="Arial" w:cs="Tahoma"/>
    </w:rPr>
  </w:style>
  <w:style w:type="paragraph" w:styleId="1063">
    <w:name w:val="Название2"/>
    <w:basedOn w:val="1031"/>
    <w:next w:val="1063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4">
    <w:name w:val="Указатель2"/>
    <w:basedOn w:val="1031"/>
    <w:next w:val="1064"/>
    <w:link w:val="1031"/>
    <w:pPr>
      <w:suppressLineNumbers/>
    </w:pPr>
    <w:rPr>
      <w:rFonts w:ascii="Arial" w:hAnsi="Arial" w:cs="Tahoma"/>
    </w:rPr>
  </w:style>
  <w:style w:type="paragraph" w:styleId="1065">
    <w:name w:val="Название1"/>
    <w:basedOn w:val="1031"/>
    <w:next w:val="1065"/>
    <w:link w:val="1031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6">
    <w:name w:val="Указатель1"/>
    <w:basedOn w:val="1031"/>
    <w:next w:val="1066"/>
    <w:link w:val="1031"/>
    <w:pPr>
      <w:suppressLineNumbers/>
    </w:pPr>
    <w:rPr>
      <w:rFonts w:ascii="Arial" w:hAnsi="Arial" w:cs="Tahoma"/>
    </w:rPr>
  </w:style>
  <w:style w:type="paragraph" w:styleId="1067">
    <w:name w:val="Верхний колонтитул"/>
    <w:basedOn w:val="1031"/>
    <w:next w:val="1067"/>
    <w:link w:val="1074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68">
    <w:name w:val="Нижний колонтитул"/>
    <w:basedOn w:val="1031"/>
    <w:next w:val="1068"/>
    <w:link w:val="1075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69">
    <w:name w:val="Текст выноски"/>
    <w:basedOn w:val="1031"/>
    <w:next w:val="1069"/>
    <w:link w:val="1031"/>
    <w:rPr>
      <w:rFonts w:ascii="Tahoma" w:hAnsi="Tahoma" w:cs="Tahoma"/>
      <w:sz w:val="16"/>
      <w:szCs w:val="16"/>
    </w:rPr>
  </w:style>
  <w:style w:type="paragraph" w:styleId="1070">
    <w:name w:val="Содержимое таблицы"/>
    <w:basedOn w:val="1031"/>
    <w:next w:val="1070"/>
    <w:link w:val="1031"/>
    <w:pPr>
      <w:suppressLineNumbers/>
    </w:pPr>
  </w:style>
  <w:style w:type="paragraph" w:styleId="1071">
    <w:name w:val="Заголовок таблицы"/>
    <w:basedOn w:val="1070"/>
    <w:next w:val="1071"/>
    <w:link w:val="1031"/>
    <w:pPr>
      <w:jc w:val="center"/>
      <w:suppressLineNumbers/>
    </w:pPr>
    <w:rPr>
      <w:b/>
      <w:bCs/>
    </w:rPr>
  </w:style>
  <w:style w:type="paragraph" w:styleId="1072">
    <w:name w:val="Содержимое врезки"/>
    <w:basedOn w:val="1053"/>
    <w:next w:val="1072"/>
    <w:link w:val="1031"/>
  </w:style>
  <w:style w:type="table" w:styleId="1073">
    <w:name w:val="Сетка таблицы"/>
    <w:basedOn w:val="1037"/>
    <w:next w:val="1073"/>
    <w:link w:val="1031"/>
    <w:tblPr/>
  </w:style>
  <w:style w:type="character" w:styleId="1074">
    <w:name w:val="Верхний колонтитул Знак"/>
    <w:next w:val="1074"/>
    <w:link w:val="1067"/>
    <w:rPr>
      <w:lang w:eastAsia="ar-SA"/>
    </w:rPr>
  </w:style>
  <w:style w:type="character" w:styleId="1075">
    <w:name w:val="Нижний колонтитул Знак"/>
    <w:next w:val="1075"/>
    <w:link w:val="1068"/>
    <w:rPr>
      <w:lang w:eastAsia="ar-SA"/>
    </w:rPr>
  </w:style>
  <w:style w:type="character" w:styleId="1076">
    <w:name w:val="Номер страницы"/>
    <w:basedOn w:val="1036"/>
    <w:next w:val="1076"/>
    <w:link w:val="1031"/>
  </w:style>
  <w:style w:type="character" w:styleId="1077">
    <w:name w:val="Основной текст + 16,5 pt2,Курсив1,Основной текст + 10"/>
    <w:next w:val="1077"/>
    <w:link w:val="1031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078">
    <w:name w:val="Основной текст (3)_"/>
    <w:next w:val="1078"/>
    <w:link w:val="1079"/>
    <w:rPr>
      <w:sz w:val="22"/>
      <w:szCs w:val="22"/>
      <w:shd w:val="clear" w:color="auto" w:fill="ffffff"/>
    </w:rPr>
  </w:style>
  <w:style w:type="paragraph" w:styleId="1079">
    <w:name w:val="Основной текст (3)"/>
    <w:basedOn w:val="1031"/>
    <w:next w:val="1079"/>
    <w:link w:val="1078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080">
    <w:name w:val="Без интервала"/>
    <w:next w:val="1080"/>
    <w:link w:val="103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081">
    <w:name w:val="Font Style13"/>
    <w:next w:val="1081"/>
    <w:link w:val="1031"/>
    <w:rPr>
      <w:rFonts w:ascii="Times New Roman" w:hAnsi="Times New Roman" w:cs="Times New Roman"/>
      <w:sz w:val="26"/>
      <w:szCs w:val="26"/>
    </w:rPr>
  </w:style>
  <w:style w:type="paragraph" w:styleId="1082">
    <w:name w:val="Обычный (веб)"/>
    <w:basedOn w:val="1031"/>
    <w:next w:val="1082"/>
    <w:link w:val="1031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83">
    <w:name w:val="apple-converted-space"/>
    <w:next w:val="1083"/>
    <w:link w:val="1031"/>
  </w:style>
  <w:style w:type="character" w:styleId="1084">
    <w:name w:val="Font Style18"/>
    <w:next w:val="1084"/>
    <w:link w:val="1031"/>
    <w:uiPriority w:val="99"/>
    <w:rPr>
      <w:rFonts w:ascii="Times New Roman" w:hAnsi="Times New Roman" w:cs="Times New Roman"/>
      <w:sz w:val="26"/>
      <w:szCs w:val="26"/>
    </w:rPr>
  </w:style>
  <w:style w:type="paragraph" w:styleId="1085">
    <w:name w:val="Основной текст с отступом"/>
    <w:basedOn w:val="1031"/>
    <w:next w:val="1085"/>
    <w:link w:val="1086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086">
    <w:name w:val="Основной текст с отступом Знак"/>
    <w:next w:val="1086"/>
    <w:link w:val="1085"/>
    <w:uiPriority w:val="99"/>
    <w:rPr>
      <w:color w:val="000000"/>
      <w:sz w:val="28"/>
      <w:szCs w:val="28"/>
      <w:lang w:eastAsia="ar-SA"/>
    </w:rPr>
  </w:style>
  <w:style w:type="paragraph" w:styleId="1087">
    <w:name w:val="ConsPlusNormal"/>
    <w:next w:val="1087"/>
    <w:link w:val="108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088">
    <w:name w:val="ConsPlusNormal Знак"/>
    <w:next w:val="1088"/>
    <w:link w:val="1087"/>
    <w:rPr>
      <w:rFonts w:ascii="Arial" w:hAnsi="Arial" w:cs="Arial"/>
      <w:lang w:val="ru-RU" w:eastAsia="ru-RU" w:bidi="ar-SA"/>
    </w:rPr>
  </w:style>
  <w:style w:type="paragraph" w:styleId="1089">
    <w:name w:val="Основной текст с отступом 2"/>
    <w:basedOn w:val="1031"/>
    <w:next w:val="1089"/>
    <w:link w:val="1090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090">
    <w:name w:val="Основной текст с отступом 2 Знак"/>
    <w:next w:val="1090"/>
    <w:link w:val="1089"/>
    <w:uiPriority w:val="99"/>
    <w:rPr>
      <w:color w:val="000000"/>
      <w:sz w:val="26"/>
      <w:szCs w:val="26"/>
      <w:lang w:eastAsia="ar-SA"/>
    </w:rPr>
  </w:style>
  <w:style w:type="character" w:styleId="1091">
    <w:name w:val="Знак примечания"/>
    <w:next w:val="1091"/>
    <w:link w:val="1031"/>
    <w:uiPriority w:val="99"/>
    <w:semiHidden/>
    <w:unhideWhenUsed/>
    <w:rPr>
      <w:sz w:val="16"/>
      <w:szCs w:val="16"/>
    </w:rPr>
  </w:style>
  <w:style w:type="paragraph" w:styleId="1092">
    <w:name w:val="Текст примечания"/>
    <w:basedOn w:val="1031"/>
    <w:next w:val="1092"/>
    <w:link w:val="1093"/>
    <w:uiPriority w:val="99"/>
    <w:semiHidden/>
    <w:unhideWhenUsed/>
  </w:style>
  <w:style w:type="character" w:styleId="1093">
    <w:name w:val="Текст примечания Знак"/>
    <w:next w:val="1093"/>
    <w:link w:val="1092"/>
    <w:uiPriority w:val="99"/>
    <w:semiHidden/>
    <w:rPr>
      <w:lang w:eastAsia="ar-SA"/>
    </w:rPr>
  </w:style>
  <w:style w:type="paragraph" w:styleId="1094">
    <w:name w:val="Тема примечания"/>
    <w:basedOn w:val="1092"/>
    <w:next w:val="1092"/>
    <w:link w:val="1095"/>
    <w:uiPriority w:val="99"/>
    <w:semiHidden/>
    <w:unhideWhenUsed/>
    <w:rPr>
      <w:b/>
      <w:bCs/>
    </w:rPr>
  </w:style>
  <w:style w:type="character" w:styleId="1095">
    <w:name w:val="Тема примечания Знак"/>
    <w:next w:val="1095"/>
    <w:link w:val="1094"/>
    <w:uiPriority w:val="99"/>
    <w:semiHidden/>
    <w:rPr>
      <w:b/>
      <w:bCs/>
      <w:lang w:eastAsia="ar-SA"/>
    </w:rPr>
  </w:style>
  <w:style w:type="character" w:styleId="1096">
    <w:name w:val="Строгий"/>
    <w:next w:val="1096"/>
    <w:link w:val="1031"/>
    <w:uiPriority w:val="22"/>
    <w:qFormat/>
    <w:rPr>
      <w:b/>
      <w:bCs/>
    </w:rPr>
  </w:style>
  <w:style w:type="character" w:styleId="1097">
    <w:name w:val="Заголовок 2 Знак"/>
    <w:next w:val="1097"/>
    <w:link w:val="1033"/>
    <w:uiPriority w:val="9"/>
    <w:rPr>
      <w:b/>
      <w:bCs/>
      <w:sz w:val="36"/>
      <w:szCs w:val="36"/>
    </w:rPr>
  </w:style>
  <w:style w:type="paragraph" w:styleId="1098">
    <w:name w:val="paragraph"/>
    <w:basedOn w:val="1031"/>
    <w:next w:val="1098"/>
    <w:link w:val="103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99">
    <w:name w:val="Заголовок 1 Знак"/>
    <w:next w:val="1099"/>
    <w:link w:val="1032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00">
    <w:name w:val="b-article__text"/>
    <w:basedOn w:val="1031"/>
    <w:next w:val="1100"/>
    <w:link w:val="103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1">
    <w:name w:val="Заголовок 4 Знак"/>
    <w:next w:val="1101"/>
    <w:link w:val="1035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02">
    <w:name w:val="Заголовок 3 Знак"/>
    <w:next w:val="1102"/>
    <w:link w:val="1034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03">
    <w:name w:val="Абзац списка"/>
    <w:basedOn w:val="1031"/>
    <w:next w:val="1103"/>
    <w:link w:val="1031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4">
    <w:name w:val="Header"/>
    <w:next w:val="1104"/>
    <w:link w:val="1031"/>
  </w:style>
  <w:style w:type="character" w:styleId="1105">
    <w:name w:val="Title"/>
    <w:next w:val="1105"/>
    <w:link w:val="1031"/>
  </w:style>
  <w:style w:type="character" w:styleId="1106">
    <w:name w:val="dashed"/>
    <w:next w:val="1106"/>
    <w:link w:val="1031"/>
  </w:style>
  <w:style w:type="character" w:styleId="1107">
    <w:name w:val="buttons"/>
    <w:next w:val="1107"/>
    <w:link w:val="1031"/>
  </w:style>
  <w:style w:type="paragraph" w:styleId="1108">
    <w:name w:val="float"/>
    <w:basedOn w:val="1031"/>
    <w:next w:val="1108"/>
    <w:link w:val="103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9">
    <w:name w:val="Caption"/>
    <w:next w:val="1109"/>
    <w:link w:val="1031"/>
  </w:style>
  <w:style w:type="character" w:styleId="1110">
    <w:name w:val="time"/>
    <w:next w:val="1110"/>
    <w:link w:val="1031"/>
  </w:style>
  <w:style w:type="character" w:styleId="1111">
    <w:name w:val="i18n"/>
    <w:next w:val="1111"/>
    <w:link w:val="1031"/>
  </w:style>
  <w:style w:type="paragraph" w:styleId="1112">
    <w:name w:val="z-Начало формы"/>
    <w:basedOn w:val="1031"/>
    <w:next w:val="1031"/>
    <w:link w:val="1113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13">
    <w:name w:val="z-Начало формы Знак"/>
    <w:next w:val="1113"/>
    <w:link w:val="1112"/>
    <w:uiPriority w:val="99"/>
    <w:semiHidden/>
    <w:rPr>
      <w:rFonts w:ascii="Arial" w:hAnsi="Arial" w:cs="Arial"/>
      <w:vanish/>
      <w:sz w:val="16"/>
      <w:szCs w:val="16"/>
    </w:rPr>
  </w:style>
  <w:style w:type="paragraph" w:styleId="1114">
    <w:name w:val="z-Конец формы"/>
    <w:basedOn w:val="1031"/>
    <w:next w:val="1031"/>
    <w:link w:val="1115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15">
    <w:name w:val="z-Конец формы Знак"/>
    <w:next w:val="1115"/>
    <w:link w:val="1114"/>
    <w:uiPriority w:val="99"/>
    <w:semiHidden/>
    <w:rPr>
      <w:rFonts w:ascii="Arial" w:hAnsi="Arial" w:cs="Arial"/>
      <w:vanish/>
      <w:sz w:val="16"/>
      <w:szCs w:val="16"/>
    </w:rPr>
  </w:style>
  <w:style w:type="character" w:styleId="1116">
    <w:name w:val="message-time"/>
    <w:next w:val="1116"/>
    <w:link w:val="1031"/>
  </w:style>
  <w:style w:type="character" w:styleId="1117" w:default="1">
    <w:name w:val="Default Paragraph Font"/>
    <w:uiPriority w:val="1"/>
    <w:semiHidden/>
    <w:unhideWhenUsed/>
  </w:style>
  <w:style w:type="numbering" w:styleId="1118" w:default="1">
    <w:name w:val="No List"/>
    <w:uiPriority w:val="99"/>
    <w:semiHidden/>
    <w:unhideWhenUsed/>
  </w:style>
  <w:style w:type="table" w:styleId="11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standartizatorgod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adminloc</cp:lastModifiedBy>
  <cp:revision>65</cp:revision>
  <dcterms:created xsi:type="dcterms:W3CDTF">2023-12-05T08:05:00Z</dcterms:created>
  <dcterms:modified xsi:type="dcterms:W3CDTF">2025-06-11T12:46:32Z</dcterms:modified>
  <cp:version>917504</cp:version>
</cp:coreProperties>
</file>